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right="0"/>
        <w:jc w:val="center"/>
        <w:textAlignment w:val="auto"/>
        <w:rPr>
          <w:rStyle w:val="8"/>
          <w:rFonts w:hint="eastAsia" w:ascii="黑体" w:hAnsi="黑体" w:eastAsia="黑体" w:cs="黑体"/>
          <w:i w:val="0"/>
          <w:caps w:val="0"/>
          <w:color w:val="4B4B4B"/>
          <w:spacing w:val="0"/>
          <w:sz w:val="30"/>
          <w:szCs w:val="30"/>
          <w:u w:val="none"/>
          <w:lang w:val="en-US" w:eastAsia="zh-CN"/>
        </w:rPr>
      </w:pPr>
      <w:r>
        <w:rPr>
          <w:rStyle w:val="8"/>
          <w:rFonts w:hint="eastAsia" w:ascii="黑体" w:hAnsi="黑体" w:eastAsia="黑体" w:cs="黑体"/>
          <w:i w:val="0"/>
          <w:caps w:val="0"/>
          <w:color w:val="4B4B4B"/>
          <w:spacing w:val="0"/>
          <w:sz w:val="30"/>
          <w:szCs w:val="30"/>
          <w:u w:val="none"/>
          <w:lang w:val="en-US" w:eastAsia="zh-CN"/>
        </w:rPr>
        <w:t>学徒制推进工作会议汇报材料</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eastAsia" w:ascii="仿宋_GB2312" w:hAnsi="仿宋_GB2312" w:eastAsia="仿宋_GB2312" w:cs="仿宋_GB2312"/>
          <w:i w:val="0"/>
          <w:caps w:val="0"/>
          <w:color w:val="4B4B4B"/>
          <w:spacing w:val="0"/>
          <w:sz w:val="30"/>
          <w:szCs w:val="30"/>
          <w:u w:val="none"/>
          <w:lang w:val="en-US" w:eastAsia="zh-CN"/>
        </w:rPr>
      </w:pP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default" w:ascii="仿宋_GB2312" w:hAnsi="仿宋_GB2312" w:eastAsia="仿宋_GB2312" w:cs="仿宋_GB2312"/>
          <w:i w:val="0"/>
          <w:caps w:val="0"/>
          <w:color w:val="4B4B4B"/>
          <w:spacing w:val="0"/>
          <w:sz w:val="30"/>
          <w:szCs w:val="30"/>
          <w:u w:val="none"/>
          <w:lang w:val="en-US" w:eastAsia="zh-CN"/>
        </w:rPr>
      </w:pPr>
      <w:r>
        <w:rPr>
          <w:rStyle w:val="8"/>
          <w:rFonts w:hint="eastAsia" w:ascii="仿宋_GB2312" w:hAnsi="仿宋_GB2312" w:eastAsia="仿宋_GB2312" w:cs="仿宋_GB2312"/>
          <w:i w:val="0"/>
          <w:caps w:val="0"/>
          <w:color w:val="4B4B4B"/>
          <w:spacing w:val="0"/>
          <w:sz w:val="30"/>
          <w:szCs w:val="30"/>
          <w:u w:val="none"/>
          <w:lang w:val="en-US" w:eastAsia="zh-CN"/>
        </w:rPr>
        <w:t>一、安排下一阶段学徒制试点工作</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default" w:ascii="仿宋_GB2312" w:hAnsi="仿宋_GB2312" w:eastAsia="仿宋_GB2312" w:cs="仿宋_GB2312"/>
          <w:b/>
          <w:bCs w:val="0"/>
          <w:i w:val="0"/>
          <w:caps w:val="0"/>
          <w:color w:val="4B4B4B"/>
          <w:spacing w:val="0"/>
          <w:sz w:val="30"/>
          <w:szCs w:val="30"/>
          <w:u w:val="none"/>
          <w:lang w:val="en-US" w:eastAsia="zh-CN"/>
        </w:rPr>
      </w:pPr>
      <w:r>
        <w:rPr>
          <w:rStyle w:val="8"/>
          <w:rFonts w:hint="eastAsia" w:ascii="仿宋_GB2312" w:hAnsi="仿宋_GB2312" w:eastAsia="仿宋_GB2312" w:cs="仿宋_GB2312"/>
          <w:b/>
          <w:bCs w:val="0"/>
          <w:i w:val="0"/>
          <w:caps w:val="0"/>
          <w:color w:val="4B4B4B"/>
          <w:spacing w:val="0"/>
          <w:sz w:val="30"/>
          <w:szCs w:val="30"/>
          <w:u w:val="none"/>
          <w:lang w:val="en-US" w:eastAsia="zh-CN"/>
        </w:rPr>
        <w:t>（一）试点专业运行</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从各试点专业材料分析，客观上存在的问题主要有：一是不能与合作企业建立稳定的合作关系；二是不能很好地按学徒制模式运行，企业用工与学生学习有矛盾；三是适宜的学徒制管理办法和学徒制教学工作量计算方式有待完善，特别是企业班教学的运行管理。</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eastAsia"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各试点专业都根据专业特点和企业情况开展试点工作，存在的问题很多：一是把学徒制专业与普通专业同等对待，专注于符合专业特色的学徒制试点研究不多；二是可能由于校内外各种条件的限制，不能很规范的运行；三是不能很好地从教学文件、运行机制到成果提炼进行经验总结，还没有形成一套完整的现代学徒制运行体系；四是过程性和阶段性支撑材料不完整，做了但没留下痕迹。</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eastAsia" w:ascii="仿宋_GB2312" w:hAnsi="仿宋_GB2312" w:eastAsia="仿宋_GB2312" w:cs="仿宋_GB2312"/>
          <w:b/>
          <w:bCs w:val="0"/>
          <w:i w:val="0"/>
          <w:caps w:val="0"/>
          <w:color w:val="4B4B4B"/>
          <w:spacing w:val="0"/>
          <w:sz w:val="30"/>
          <w:szCs w:val="30"/>
          <w:u w:val="none"/>
          <w:lang w:val="en-US" w:eastAsia="zh-CN"/>
        </w:rPr>
      </w:pPr>
      <w:r>
        <w:rPr>
          <w:rStyle w:val="8"/>
          <w:rFonts w:hint="eastAsia" w:ascii="仿宋_GB2312" w:hAnsi="仿宋_GB2312" w:eastAsia="仿宋_GB2312" w:cs="仿宋_GB2312"/>
          <w:b/>
          <w:bCs w:val="0"/>
          <w:i w:val="0"/>
          <w:caps w:val="0"/>
          <w:color w:val="4B4B4B"/>
          <w:spacing w:val="0"/>
          <w:sz w:val="30"/>
          <w:szCs w:val="30"/>
          <w:u w:val="none"/>
          <w:lang w:val="en-US" w:eastAsia="zh-CN"/>
        </w:rPr>
        <w:t>要求和建议：</w:t>
      </w:r>
    </w:p>
    <w:p>
      <w:pPr>
        <w:pStyle w:val="4"/>
        <w:keepNext w:val="0"/>
        <w:keepLines w:val="0"/>
        <w:pageBreakBefore w:val="0"/>
        <w:widowControl/>
        <w:numPr>
          <w:ilvl w:val="0"/>
          <w:numId w:val="1"/>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教学文件汇编。对照实施方案提出的教学文件建设内容，按学院相关文件要求规范编制，包括专业人才培养方案、课程标准、实训指导书、考核方案，岗位技术标准、师傅标准、质量监控标准等，形成一套完整的教学文件。</w:t>
      </w:r>
    </w:p>
    <w:p>
      <w:pPr>
        <w:pStyle w:val="4"/>
        <w:keepNext w:val="0"/>
        <w:keepLines w:val="0"/>
        <w:pageBreakBefore w:val="0"/>
        <w:widowControl/>
        <w:numPr>
          <w:ilvl w:val="0"/>
          <w:numId w:val="1"/>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过程性材料的整理。对照任务书梳理前两年试点运行的材料，补充完整；下一阶段近一年运行材料注意总结整理。</w:t>
      </w:r>
    </w:p>
    <w:p>
      <w:pPr>
        <w:pStyle w:val="4"/>
        <w:keepNext w:val="0"/>
        <w:keepLines w:val="0"/>
        <w:pageBreakBefore w:val="0"/>
        <w:widowControl/>
        <w:numPr>
          <w:ilvl w:val="0"/>
          <w:numId w:val="1"/>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所有材料</w:t>
      </w:r>
      <w:r>
        <w:rPr>
          <w:rStyle w:val="8"/>
          <w:rFonts w:hint="eastAsia" w:ascii="仿宋_GB2312" w:hAnsi="仿宋_GB2312" w:eastAsia="仿宋_GB2312" w:cs="仿宋_GB2312"/>
          <w:b/>
          <w:bCs w:val="0"/>
          <w:i w:val="0"/>
          <w:caps w:val="0"/>
          <w:color w:val="4B4B4B"/>
          <w:spacing w:val="0"/>
          <w:sz w:val="30"/>
          <w:szCs w:val="30"/>
          <w:u w:val="none"/>
          <w:lang w:val="en-US" w:eastAsia="zh-CN"/>
        </w:rPr>
        <w:t>以电子版留存</w:t>
      </w:r>
      <w:r>
        <w:rPr>
          <w:rStyle w:val="8"/>
          <w:rFonts w:hint="eastAsia" w:ascii="仿宋_GB2312" w:hAnsi="仿宋_GB2312" w:eastAsia="仿宋_GB2312" w:cs="仿宋_GB2312"/>
          <w:b w:val="0"/>
          <w:bCs/>
          <w:i w:val="0"/>
          <w:caps w:val="0"/>
          <w:color w:val="4B4B4B"/>
          <w:spacing w:val="0"/>
          <w:sz w:val="30"/>
          <w:szCs w:val="30"/>
          <w:u w:val="none"/>
          <w:lang w:val="en-US" w:eastAsia="zh-CN"/>
        </w:rPr>
        <w:t>，对于纸质材料，比如协议等扫描成电子版，按指标体系建立文件夹保存，同时，成型的材料传给刘明武，由刘明武负责上传至学徒制专题网站。</w:t>
      </w:r>
    </w:p>
    <w:p>
      <w:pPr>
        <w:pStyle w:val="4"/>
        <w:keepNext w:val="0"/>
        <w:keepLines w:val="0"/>
        <w:pageBreakBefore w:val="0"/>
        <w:widowControl/>
        <w:numPr>
          <w:ilvl w:val="0"/>
          <w:numId w:val="0"/>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Chars="200" w:right="0" w:rightChars="0"/>
        <w:jc w:val="left"/>
        <w:textAlignment w:val="auto"/>
        <w:rPr>
          <w:rStyle w:val="8"/>
          <w:rFonts w:hint="default" w:ascii="仿宋_GB2312" w:hAnsi="仿宋_GB2312" w:eastAsia="仿宋_GB2312" w:cs="仿宋_GB2312"/>
          <w:b/>
          <w:bCs w:val="0"/>
          <w:i w:val="0"/>
          <w:caps w:val="0"/>
          <w:color w:val="4B4B4B"/>
          <w:spacing w:val="0"/>
          <w:sz w:val="30"/>
          <w:szCs w:val="30"/>
          <w:u w:val="none"/>
          <w:lang w:val="en-US" w:eastAsia="zh-CN"/>
        </w:rPr>
      </w:pPr>
      <w:r>
        <w:rPr>
          <w:rStyle w:val="8"/>
          <w:rFonts w:hint="eastAsia" w:ascii="仿宋_GB2312" w:hAnsi="仿宋_GB2312" w:eastAsia="仿宋_GB2312" w:cs="仿宋_GB2312"/>
          <w:b/>
          <w:bCs w:val="0"/>
          <w:i w:val="0"/>
          <w:caps w:val="0"/>
          <w:color w:val="4B4B4B"/>
          <w:spacing w:val="0"/>
          <w:sz w:val="30"/>
          <w:szCs w:val="30"/>
          <w:u w:val="none"/>
          <w:lang w:val="en-US" w:eastAsia="zh-CN"/>
        </w:rPr>
        <w:t>（二）试点任务项目</w:t>
      </w:r>
    </w:p>
    <w:p>
      <w:pPr>
        <w:pStyle w:val="4"/>
        <w:keepNext w:val="0"/>
        <w:keepLines w:val="0"/>
        <w:pageBreakBefore w:val="0"/>
        <w:widowControl/>
        <w:numPr>
          <w:ilvl w:val="0"/>
          <w:numId w:val="0"/>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Chars="0" w:right="0" w:rightChars="0" w:firstLine="600" w:firstLineChars="200"/>
        <w:jc w:val="left"/>
        <w:textAlignment w:val="auto"/>
        <w:rPr>
          <w:rStyle w:val="8"/>
          <w:rFonts w:hint="eastAsia"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从目前统计的数据分析，试点任务项目完成情况不是太理想，时间已过半，与任务要求差距很大，存在的问题：一是没有系统性安排项目建设，单靠专业负责人是没办法完成的；二是建设项目材料没有系统总结整理。</w:t>
      </w:r>
    </w:p>
    <w:p>
      <w:pPr>
        <w:pStyle w:val="4"/>
        <w:keepNext w:val="0"/>
        <w:keepLines w:val="0"/>
        <w:pageBreakBefore w:val="0"/>
        <w:widowControl/>
        <w:numPr>
          <w:ilvl w:val="0"/>
          <w:numId w:val="0"/>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Chars="0" w:right="0" w:rightChars="0" w:firstLine="602" w:firstLineChars="200"/>
        <w:jc w:val="left"/>
        <w:textAlignment w:val="auto"/>
        <w:rPr>
          <w:rStyle w:val="8"/>
          <w:rFonts w:hint="default" w:ascii="仿宋_GB2312" w:hAnsi="仿宋_GB2312" w:eastAsia="仿宋_GB2312" w:cs="仿宋_GB2312"/>
          <w:b/>
          <w:bCs w:val="0"/>
          <w:i w:val="0"/>
          <w:caps w:val="0"/>
          <w:color w:val="4B4B4B"/>
          <w:spacing w:val="0"/>
          <w:sz w:val="30"/>
          <w:szCs w:val="30"/>
          <w:u w:val="none"/>
          <w:lang w:val="en-US" w:eastAsia="zh-CN"/>
        </w:rPr>
      </w:pPr>
      <w:r>
        <w:rPr>
          <w:rStyle w:val="8"/>
          <w:rFonts w:hint="eastAsia" w:ascii="仿宋_GB2312" w:hAnsi="仿宋_GB2312" w:eastAsia="仿宋_GB2312" w:cs="仿宋_GB2312"/>
          <w:b/>
          <w:bCs w:val="0"/>
          <w:i w:val="0"/>
          <w:caps w:val="0"/>
          <w:color w:val="4B4B4B"/>
          <w:spacing w:val="0"/>
          <w:sz w:val="30"/>
          <w:szCs w:val="30"/>
          <w:u w:val="none"/>
          <w:lang w:val="en-US" w:eastAsia="zh-CN"/>
        </w:rPr>
        <w:t>要求和建议：</w:t>
      </w:r>
    </w:p>
    <w:p>
      <w:pPr>
        <w:pStyle w:val="4"/>
        <w:keepNext w:val="0"/>
        <w:keepLines w:val="0"/>
        <w:pageBreakBefore w:val="0"/>
        <w:widowControl/>
        <w:numPr>
          <w:ilvl w:val="0"/>
          <w:numId w:val="2"/>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Chars="0" w:right="0" w:rightChars="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必须依靠团队，将试点任务项目落实到人，明确建设的责任人，明确建设时限，确保中期检查和2020年6月验收前完成建设项目。</w:t>
      </w:r>
    </w:p>
    <w:p>
      <w:pPr>
        <w:pStyle w:val="4"/>
        <w:keepNext w:val="0"/>
        <w:keepLines w:val="0"/>
        <w:pageBreakBefore w:val="0"/>
        <w:widowControl/>
        <w:numPr>
          <w:ilvl w:val="0"/>
          <w:numId w:val="2"/>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rightChars="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所有建设项目原则上按院级项目认定，经费按相应标准执行。课程建设、教材建设按院级优质核心课程建设标准、校企合作特色教材建设标准建设，建成后按院级项目验收。课题申报积极参与自治区级课题申报，或申报院级课题，建成后按院级项目验收。论文发表、技术服务科研处备案。共建实践基地按学院</w:t>
      </w:r>
      <w:r>
        <w:rPr>
          <w:rFonts w:hint="eastAsia" w:ascii="仿宋" w:hAnsi="仿宋" w:eastAsia="仿宋" w:cs="仿宋"/>
          <w:color w:val="auto"/>
          <w:sz w:val="30"/>
          <w:szCs w:val="30"/>
          <w:lang w:val="en-US" w:eastAsia="zh-CN"/>
        </w:rPr>
        <w:t>校企合作共建共享实践基地建设标准</w:t>
      </w:r>
      <w:r>
        <w:rPr>
          <w:rFonts w:hint="eastAsia" w:ascii="仿宋" w:hAnsi="仿宋" w:eastAsia="仿宋" w:cs="仿宋"/>
          <w:sz w:val="30"/>
          <w:szCs w:val="30"/>
          <w:lang w:val="en-US" w:eastAsia="zh-CN"/>
        </w:rPr>
        <w:t>实施并备案。教师企业实践按《教师素质提高计划（2017—2020年）实施方案》要求组织实施。</w:t>
      </w:r>
    </w:p>
    <w:p>
      <w:pPr>
        <w:pStyle w:val="4"/>
        <w:keepNext w:val="0"/>
        <w:keepLines w:val="0"/>
        <w:pageBreakBefore w:val="0"/>
        <w:widowControl/>
        <w:numPr>
          <w:ilvl w:val="0"/>
          <w:numId w:val="2"/>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rightChars="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所有材料</w:t>
      </w:r>
      <w:r>
        <w:rPr>
          <w:rStyle w:val="8"/>
          <w:rFonts w:hint="eastAsia" w:ascii="仿宋_GB2312" w:hAnsi="仿宋_GB2312" w:eastAsia="仿宋_GB2312" w:cs="仿宋_GB2312"/>
          <w:b/>
          <w:bCs w:val="0"/>
          <w:i w:val="0"/>
          <w:caps w:val="0"/>
          <w:color w:val="4B4B4B"/>
          <w:spacing w:val="0"/>
          <w:sz w:val="30"/>
          <w:szCs w:val="30"/>
          <w:u w:val="none"/>
          <w:lang w:val="en-US" w:eastAsia="zh-CN"/>
        </w:rPr>
        <w:t>以电子版留存</w:t>
      </w:r>
      <w:r>
        <w:rPr>
          <w:rStyle w:val="8"/>
          <w:rFonts w:hint="eastAsia" w:ascii="仿宋_GB2312" w:hAnsi="仿宋_GB2312" w:eastAsia="仿宋_GB2312" w:cs="仿宋_GB2312"/>
          <w:b w:val="0"/>
          <w:bCs/>
          <w:i w:val="0"/>
          <w:caps w:val="0"/>
          <w:color w:val="4B4B4B"/>
          <w:spacing w:val="0"/>
          <w:sz w:val="30"/>
          <w:szCs w:val="30"/>
          <w:u w:val="none"/>
          <w:lang w:val="en-US" w:eastAsia="zh-CN"/>
        </w:rPr>
        <w:t>，对于纸质材料扫描成电子版，所有建设项目材料打包成压缩文件保存，同时传给刘明武，由刘明武负责上传至学徒制专题网站。</w:t>
      </w:r>
    </w:p>
    <w:p>
      <w:pPr>
        <w:pStyle w:val="4"/>
        <w:keepNext w:val="0"/>
        <w:keepLines w:val="0"/>
        <w:pageBreakBefore w:val="0"/>
        <w:widowControl/>
        <w:numPr>
          <w:ilvl w:val="0"/>
          <w:numId w:val="0"/>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Chars="0" w:right="0" w:rightChars="0" w:firstLine="600" w:firstLineChars="200"/>
        <w:jc w:val="left"/>
        <w:textAlignment w:val="auto"/>
        <w:rPr>
          <w:rStyle w:val="8"/>
          <w:rFonts w:hint="eastAsia" w:ascii="仿宋_GB2312" w:hAnsi="仿宋_GB2312" w:eastAsia="仿宋_GB2312" w:cs="仿宋_GB2312"/>
          <w:b w:val="0"/>
          <w:bCs/>
          <w:i w:val="0"/>
          <w:caps w:val="0"/>
          <w:color w:val="4B4B4B"/>
          <w:spacing w:val="0"/>
          <w:sz w:val="30"/>
          <w:szCs w:val="30"/>
          <w:u w:val="none"/>
          <w:lang w:val="en-US" w:eastAsia="zh-CN"/>
        </w:rPr>
      </w:pPr>
    </w:p>
    <w:tbl>
      <w:tblPr>
        <w:tblStyle w:val="5"/>
        <w:tblW w:w="9897" w:type="dxa"/>
        <w:jc w:val="center"/>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54"/>
        <w:gridCol w:w="669"/>
        <w:gridCol w:w="921"/>
        <w:gridCol w:w="546"/>
        <w:gridCol w:w="631"/>
        <w:gridCol w:w="487"/>
        <w:gridCol w:w="482"/>
        <w:gridCol w:w="469"/>
        <w:gridCol w:w="623"/>
        <w:gridCol w:w="570"/>
        <w:gridCol w:w="615"/>
        <w:gridCol w:w="508"/>
        <w:gridCol w:w="600"/>
        <w:gridCol w:w="554"/>
        <w:gridCol w:w="600"/>
        <w:gridCol w:w="77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 w:hRule="atLeast"/>
          <w:jc w:val="center"/>
        </w:trPr>
        <w:tc>
          <w:tcPr>
            <w:tcW w:w="354"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669"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系部</w:t>
            </w:r>
          </w:p>
        </w:tc>
        <w:tc>
          <w:tcPr>
            <w:tcW w:w="921" w:type="dxa"/>
            <w:vMerge w:val="restar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试点专业</w:t>
            </w:r>
          </w:p>
        </w:tc>
        <w:tc>
          <w:tcPr>
            <w:tcW w:w="7953" w:type="dxa"/>
            <w:gridSpan w:val="14"/>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354"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669"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921" w:type="dxa"/>
            <w:vMerge w:val="continue"/>
            <w:shd w:val="clear" w:color="auto" w:fill="auto"/>
            <w:tcMar>
              <w:top w:w="10" w:type="dxa"/>
              <w:left w:w="10" w:type="dxa"/>
              <w:right w:w="10" w:type="dxa"/>
            </w:tcMar>
            <w:vAlign w:val="center"/>
          </w:tcPr>
          <w:p>
            <w:pPr>
              <w:jc w:val="left"/>
              <w:rPr>
                <w:rFonts w:hint="eastAsia" w:asciiTheme="minorEastAsia" w:hAnsiTheme="minorEastAsia" w:eastAsiaTheme="minorEastAsia" w:cstheme="minorEastAsia"/>
                <w:b/>
                <w:i w:val="0"/>
                <w:color w:val="000000"/>
                <w:sz w:val="21"/>
                <w:szCs w:val="21"/>
                <w:u w:val="none"/>
              </w:rPr>
            </w:pPr>
          </w:p>
        </w:tc>
        <w:tc>
          <w:tcPr>
            <w:tcW w:w="5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课程建设</w:t>
            </w:r>
          </w:p>
        </w:tc>
        <w:tc>
          <w:tcPr>
            <w:tcW w:w="63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c>
          <w:tcPr>
            <w:tcW w:w="48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教材建设</w:t>
            </w:r>
          </w:p>
        </w:tc>
        <w:tc>
          <w:tcPr>
            <w:tcW w:w="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c>
          <w:tcPr>
            <w:tcW w:w="4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技术服务</w:t>
            </w:r>
          </w:p>
        </w:tc>
        <w:tc>
          <w:tcPr>
            <w:tcW w:w="623"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c>
          <w:tcPr>
            <w:tcW w:w="57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论文发表</w:t>
            </w:r>
          </w:p>
        </w:tc>
        <w:tc>
          <w:tcPr>
            <w:tcW w:w="61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c>
          <w:tcPr>
            <w:tcW w:w="50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课题申报</w:t>
            </w:r>
          </w:p>
        </w:tc>
        <w:tc>
          <w:tcPr>
            <w:tcW w:w="6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c>
          <w:tcPr>
            <w:tcW w:w="5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企业实践</w:t>
            </w:r>
          </w:p>
        </w:tc>
        <w:tc>
          <w:tcPr>
            <w:tcW w:w="6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共建实践基地</w:t>
            </w:r>
          </w:p>
        </w:tc>
        <w:tc>
          <w:tcPr>
            <w:tcW w:w="49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验收要点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机电工程系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汽车检测与维修</w:t>
            </w:r>
          </w:p>
        </w:tc>
        <w:tc>
          <w:tcPr>
            <w:tcW w:w="5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631"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课程标准、资源库建设资料、教学资料等</w:t>
            </w:r>
          </w:p>
        </w:tc>
        <w:tc>
          <w:tcPr>
            <w:tcW w:w="48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482"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出版物</w:t>
            </w:r>
          </w:p>
        </w:tc>
        <w:tc>
          <w:tcPr>
            <w:tcW w:w="4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p>
            <w:pPr>
              <w:keepNext w:val="0"/>
              <w:keepLines w:val="0"/>
              <w:widowControl/>
              <w:suppressLineNumbers w:val="0"/>
              <w:jc w:val="center"/>
              <w:textAlignment w:val="center"/>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623"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技术服务报告、鉴定书等</w:t>
            </w:r>
          </w:p>
        </w:tc>
        <w:tc>
          <w:tcPr>
            <w:tcW w:w="57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615"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刊物</w:t>
            </w:r>
          </w:p>
        </w:tc>
        <w:tc>
          <w:tcPr>
            <w:tcW w:w="50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1</w:t>
            </w:r>
          </w:p>
        </w:tc>
        <w:tc>
          <w:tcPr>
            <w:tcW w:w="600"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申报书、立项材料</w:t>
            </w:r>
          </w:p>
        </w:tc>
        <w:tc>
          <w:tcPr>
            <w:tcW w:w="5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2-3</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4-6</w:t>
            </w:r>
          </w:p>
        </w:tc>
        <w:tc>
          <w:tcPr>
            <w:tcW w:w="600"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实践报告、调研报告等材料</w:t>
            </w: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491" w:type="dxa"/>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协议、挂牌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建筑工程系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建筑装饰</w:t>
            </w:r>
          </w:p>
        </w:tc>
        <w:tc>
          <w:tcPr>
            <w:tcW w:w="546" w:type="dxa"/>
            <w:shd w:val="clear" w:color="auto" w:fill="auto"/>
            <w:tcMar>
              <w:top w:w="10" w:type="dxa"/>
              <w:left w:w="10" w:type="dxa"/>
              <w:right w:w="10" w:type="dxa"/>
            </w:tcMar>
            <w:vAlign w:val="center"/>
          </w:tcPr>
          <w:p>
            <w:pPr>
              <w:jc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待定</w:t>
            </w:r>
          </w:p>
        </w:tc>
        <w:tc>
          <w:tcPr>
            <w:tcW w:w="63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87"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482"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w:t>
            </w:r>
          </w:p>
          <w:p>
            <w:pPr>
              <w:keepNext w:val="0"/>
              <w:keepLines w:val="0"/>
              <w:widowControl/>
              <w:suppressLineNumbers w:val="0"/>
              <w:jc w:val="center"/>
              <w:textAlignment w:val="center"/>
              <w:rPr>
                <w:rFonts w:hint="default" w:asciiTheme="minorEastAsia" w:hAnsi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w:t>
            </w:r>
          </w:p>
        </w:tc>
        <w:tc>
          <w:tcPr>
            <w:tcW w:w="623"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7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1-2</w:t>
            </w:r>
          </w:p>
        </w:tc>
        <w:tc>
          <w:tcPr>
            <w:tcW w:w="615"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0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1"/>
                <w:szCs w:val="21"/>
                <w:u w:val="none"/>
                <w:lang w:val="en-US"/>
              </w:rPr>
            </w:pPr>
            <w:r>
              <w:rPr>
                <w:rFonts w:hint="eastAsia" w:asciiTheme="minorEastAsia" w:hAnsiTheme="minorEastAsia" w:cstheme="minorEastAsia"/>
                <w:i w:val="0"/>
                <w:color w:val="000000"/>
                <w:kern w:val="0"/>
                <w:sz w:val="21"/>
                <w:szCs w:val="21"/>
                <w:u w:val="none"/>
                <w:lang w:val="en-US" w:eastAsia="zh-CN" w:bidi="ar"/>
              </w:rPr>
              <w:t>1-2</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2</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49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管理与旅游系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酒店管理</w:t>
            </w:r>
          </w:p>
        </w:tc>
        <w:tc>
          <w:tcPr>
            <w:tcW w:w="5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63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87"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482"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69"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23"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70"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15"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08"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3</w:t>
            </w:r>
          </w:p>
        </w:tc>
        <w:tc>
          <w:tcPr>
            <w:tcW w:w="49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化学工程系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应用化工技术</w:t>
            </w:r>
          </w:p>
        </w:tc>
        <w:tc>
          <w:tcPr>
            <w:tcW w:w="5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2</w:t>
            </w:r>
          </w:p>
        </w:tc>
        <w:tc>
          <w:tcPr>
            <w:tcW w:w="63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87"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482"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69"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23"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70"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15"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08"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c>
          <w:tcPr>
            <w:tcW w:w="49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矿业工程系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煤矿开采技术</w:t>
            </w:r>
          </w:p>
        </w:tc>
        <w:tc>
          <w:tcPr>
            <w:tcW w:w="5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2</w:t>
            </w:r>
          </w:p>
        </w:tc>
        <w:tc>
          <w:tcPr>
            <w:tcW w:w="63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8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c>
          <w:tcPr>
            <w:tcW w:w="482"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p>
            <w:pPr>
              <w:keepNext w:val="0"/>
              <w:keepLines w:val="0"/>
              <w:widowControl/>
              <w:suppressLineNumbers w:val="0"/>
              <w:jc w:val="center"/>
              <w:textAlignment w:val="center"/>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623"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7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615"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0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2</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1-2</w:t>
            </w:r>
          </w:p>
        </w:tc>
        <w:tc>
          <w:tcPr>
            <w:tcW w:w="49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电力工程系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电厂热能动力装置</w:t>
            </w:r>
          </w:p>
        </w:tc>
        <w:tc>
          <w:tcPr>
            <w:tcW w:w="54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1-2</w:t>
            </w:r>
          </w:p>
        </w:tc>
        <w:tc>
          <w:tcPr>
            <w:tcW w:w="63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8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1-2</w:t>
            </w:r>
          </w:p>
        </w:tc>
        <w:tc>
          <w:tcPr>
            <w:tcW w:w="482"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p>
            <w:pPr>
              <w:keepNext w:val="0"/>
              <w:keepLines w:val="0"/>
              <w:widowControl/>
              <w:suppressLineNumbers w:val="0"/>
              <w:jc w:val="center"/>
              <w:textAlignment w:val="center"/>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623"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7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c>
          <w:tcPr>
            <w:tcW w:w="615"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0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49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 w:hRule="atLeast"/>
          <w:jc w:val="center"/>
        </w:trPr>
        <w:tc>
          <w:tcPr>
            <w:tcW w:w="35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66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学前教育系</w:t>
            </w:r>
          </w:p>
        </w:tc>
        <w:tc>
          <w:tcPr>
            <w:tcW w:w="921" w:type="dxa"/>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学前教育</w:t>
            </w:r>
          </w:p>
        </w:tc>
        <w:tc>
          <w:tcPr>
            <w:tcW w:w="546"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w:t>
            </w:r>
          </w:p>
        </w:tc>
        <w:tc>
          <w:tcPr>
            <w:tcW w:w="63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87"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w:t>
            </w:r>
          </w:p>
        </w:tc>
        <w:tc>
          <w:tcPr>
            <w:tcW w:w="482"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469"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23"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70"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15"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0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待定</w:t>
            </w:r>
          </w:p>
        </w:tc>
        <w:tc>
          <w:tcPr>
            <w:tcW w:w="600"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7"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491" w:type="dxa"/>
            <w:vMerge w:val="continue"/>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 w:hRule="atLeast"/>
          <w:jc w:val="center"/>
        </w:trPr>
        <w:tc>
          <w:tcPr>
            <w:tcW w:w="1944" w:type="dxa"/>
            <w:gridSpan w:val="3"/>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小计</w:t>
            </w:r>
          </w:p>
        </w:tc>
        <w:tc>
          <w:tcPr>
            <w:tcW w:w="1177"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17</w:t>
            </w:r>
            <w:r>
              <w:rPr>
                <w:rFonts w:hint="eastAsia" w:asciiTheme="minorEastAsia" w:hAnsiTheme="minorEastAsia" w:eastAsiaTheme="minorEastAsia" w:cstheme="minorEastAsia"/>
                <w:i w:val="0"/>
                <w:color w:val="000000"/>
                <w:sz w:val="21"/>
                <w:szCs w:val="21"/>
                <w:u w:val="none"/>
                <w:lang w:val="en-US" w:eastAsia="zh-CN"/>
              </w:rPr>
              <w:t>门</w:t>
            </w:r>
          </w:p>
        </w:tc>
        <w:tc>
          <w:tcPr>
            <w:tcW w:w="969"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9</w:t>
            </w:r>
            <w:r>
              <w:rPr>
                <w:rFonts w:hint="eastAsia" w:asciiTheme="minorEastAsia" w:hAnsiTheme="minorEastAsia" w:eastAsiaTheme="minorEastAsia" w:cstheme="minorEastAsia"/>
                <w:i w:val="0"/>
                <w:color w:val="000000"/>
                <w:sz w:val="21"/>
                <w:szCs w:val="21"/>
                <w:u w:val="none"/>
                <w:lang w:val="en-US" w:eastAsia="zh-CN"/>
              </w:rPr>
              <w:t>部</w:t>
            </w:r>
          </w:p>
        </w:tc>
        <w:tc>
          <w:tcPr>
            <w:tcW w:w="1092"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24</w:t>
            </w:r>
            <w:r>
              <w:rPr>
                <w:rFonts w:hint="eastAsia" w:asciiTheme="minorEastAsia" w:hAnsiTheme="minorEastAsia" w:eastAsiaTheme="minorEastAsia" w:cstheme="minorEastAsia"/>
                <w:i w:val="0"/>
                <w:color w:val="000000"/>
                <w:sz w:val="21"/>
                <w:szCs w:val="21"/>
                <w:u w:val="none"/>
                <w:lang w:val="en-US" w:eastAsia="zh-CN"/>
              </w:rPr>
              <w:t>项</w:t>
            </w:r>
          </w:p>
        </w:tc>
        <w:tc>
          <w:tcPr>
            <w:tcW w:w="1185"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10</w:t>
            </w:r>
            <w:r>
              <w:rPr>
                <w:rFonts w:hint="eastAsia" w:asciiTheme="minorEastAsia" w:hAnsiTheme="minorEastAsia" w:eastAsiaTheme="minorEastAsia" w:cstheme="minorEastAsia"/>
                <w:i w:val="0"/>
                <w:color w:val="000000"/>
                <w:sz w:val="21"/>
                <w:szCs w:val="21"/>
                <w:u w:val="none"/>
                <w:lang w:val="en-US" w:eastAsia="zh-CN"/>
              </w:rPr>
              <w:t>篇</w:t>
            </w:r>
          </w:p>
        </w:tc>
        <w:tc>
          <w:tcPr>
            <w:tcW w:w="1108"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9项</w:t>
            </w:r>
          </w:p>
        </w:tc>
        <w:tc>
          <w:tcPr>
            <w:tcW w:w="1154"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sz w:val="21"/>
                <w:szCs w:val="21"/>
                <w:u w:val="none"/>
                <w:lang w:val="en-US" w:eastAsia="zh-CN"/>
              </w:rPr>
              <w:t>1</w:t>
            </w:r>
            <w:r>
              <w:rPr>
                <w:rFonts w:hint="eastAsia" w:asciiTheme="minorEastAsia" w:hAnsiTheme="minorEastAsia" w:eastAsiaTheme="minorEastAsia" w:cstheme="minorEastAsia"/>
                <w:i w:val="0"/>
                <w:color w:val="000000"/>
                <w:sz w:val="21"/>
                <w:szCs w:val="21"/>
                <w:u w:val="none"/>
                <w:lang w:val="en-US" w:eastAsia="zh-CN"/>
              </w:rPr>
              <w:t>9人次</w:t>
            </w:r>
          </w:p>
        </w:tc>
        <w:tc>
          <w:tcPr>
            <w:tcW w:w="1268"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944" w:type="dxa"/>
            <w:gridSpan w:val="3"/>
            <w:shd w:val="clear" w:color="auto" w:fill="auto"/>
            <w:tcMar>
              <w:top w:w="10" w:type="dxa"/>
              <w:left w:w="10" w:type="dxa"/>
              <w:right w:w="10" w:type="dxa"/>
            </w:tcMar>
            <w:vAlign w:val="center"/>
          </w:tcPr>
          <w:p>
            <w:pPr>
              <w:jc w:val="left"/>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任务</w:t>
            </w:r>
          </w:p>
        </w:tc>
        <w:tc>
          <w:tcPr>
            <w:tcW w:w="1177"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21门</w:t>
            </w:r>
          </w:p>
        </w:tc>
        <w:tc>
          <w:tcPr>
            <w:tcW w:w="969"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14部</w:t>
            </w:r>
          </w:p>
        </w:tc>
        <w:tc>
          <w:tcPr>
            <w:tcW w:w="1092"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21</w:t>
            </w: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1185"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14篇</w:t>
            </w:r>
          </w:p>
        </w:tc>
        <w:tc>
          <w:tcPr>
            <w:tcW w:w="1108"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7顶</w:t>
            </w:r>
          </w:p>
        </w:tc>
        <w:tc>
          <w:tcPr>
            <w:tcW w:w="1154"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28人次</w:t>
            </w:r>
          </w:p>
        </w:tc>
        <w:tc>
          <w:tcPr>
            <w:tcW w:w="1268" w:type="dxa"/>
            <w:gridSpan w:val="2"/>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14个</w:t>
            </w:r>
          </w:p>
        </w:tc>
      </w:tr>
    </w:tbl>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eastAsia" w:ascii="仿宋_GB2312" w:hAnsi="仿宋_GB2312" w:eastAsia="仿宋_GB2312" w:cs="仿宋_GB2312"/>
          <w:b w:val="0"/>
          <w:bCs/>
          <w:i w:val="0"/>
          <w:caps w:val="0"/>
          <w:color w:val="4B4B4B"/>
          <w:spacing w:val="0"/>
          <w:sz w:val="30"/>
          <w:szCs w:val="30"/>
          <w:u w:val="none"/>
          <w:lang w:val="en-US" w:eastAsia="zh-CN"/>
        </w:rPr>
      </w:pPr>
    </w:p>
    <w:p>
      <w:pPr>
        <w:pStyle w:val="4"/>
        <w:keepNext w:val="0"/>
        <w:keepLines w:val="0"/>
        <w:pageBreakBefore w:val="0"/>
        <w:widowControl/>
        <w:numPr>
          <w:ilvl w:val="0"/>
          <w:numId w:val="0"/>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Chars="200" w:right="0" w:rightChars="0"/>
        <w:jc w:val="left"/>
        <w:textAlignment w:val="auto"/>
        <w:rPr>
          <w:rStyle w:val="8"/>
          <w:rFonts w:hint="default" w:ascii="仿宋_GB2312" w:hAnsi="仿宋_GB2312" w:eastAsia="仿宋_GB2312" w:cs="仿宋_GB2312"/>
          <w:b/>
          <w:bCs w:val="0"/>
          <w:i w:val="0"/>
          <w:caps w:val="0"/>
          <w:color w:val="4B4B4B"/>
          <w:spacing w:val="0"/>
          <w:sz w:val="30"/>
          <w:szCs w:val="30"/>
          <w:u w:val="none"/>
          <w:lang w:val="en-US" w:eastAsia="zh-CN"/>
        </w:rPr>
      </w:pPr>
      <w:r>
        <w:rPr>
          <w:rStyle w:val="8"/>
          <w:rFonts w:hint="eastAsia" w:ascii="仿宋_GB2312" w:hAnsi="仿宋_GB2312" w:eastAsia="仿宋_GB2312" w:cs="仿宋_GB2312"/>
          <w:b/>
          <w:bCs w:val="0"/>
          <w:i w:val="0"/>
          <w:caps w:val="0"/>
          <w:color w:val="4B4B4B"/>
          <w:spacing w:val="0"/>
          <w:sz w:val="30"/>
          <w:szCs w:val="30"/>
          <w:u w:val="none"/>
          <w:lang w:val="en-US" w:eastAsia="zh-CN"/>
        </w:rPr>
        <w:t>（三）经费的使用</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eastAsia"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每个试点专业建设经费近100万元，学院每年支持各试点专业经费共70万元，自治区下拔经费50万元。从财务统计的数据分析，开展的教学活动和建设项目少经费使用差距很大，存在的问题：一是软建设经费没法使用；二是有效组织教学活动和项目建设少。</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要求与建议：</w:t>
      </w:r>
    </w:p>
    <w:p>
      <w:pPr>
        <w:pStyle w:val="4"/>
        <w:keepNext w:val="0"/>
        <w:keepLines w:val="0"/>
        <w:pageBreakBefore w:val="0"/>
        <w:widowControl/>
        <w:numPr>
          <w:ilvl w:val="0"/>
          <w:numId w:val="3"/>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经费使用本着建设的目的，将专业（群）建设的相关经费全部纳入，统筹梳理经费使用。</w:t>
      </w:r>
    </w:p>
    <w:p>
      <w:pPr>
        <w:pStyle w:val="4"/>
        <w:keepNext w:val="0"/>
        <w:keepLines w:val="0"/>
        <w:pageBreakBefore w:val="0"/>
        <w:widowControl/>
        <w:numPr>
          <w:ilvl w:val="0"/>
          <w:numId w:val="3"/>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对项目建设，试点专业负责人督促项目负责人做好项目建设就行了，经费按学院按相关文件标准执行，从学院特高计划建设经费支。</w:t>
      </w:r>
    </w:p>
    <w:p>
      <w:pPr>
        <w:pStyle w:val="4"/>
        <w:keepNext w:val="0"/>
        <w:keepLines w:val="0"/>
        <w:pageBreakBefore w:val="0"/>
        <w:widowControl/>
        <w:numPr>
          <w:ilvl w:val="0"/>
          <w:numId w:val="3"/>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对教学活动，比如调研（24万元）、研讨（29万元）、招生和校企合作（37万元）等，试点专业负责人做好统筹安排，提出可行方案，积极组织实施。经费从学院每年支持各试点专业70万元经费支。</w:t>
      </w:r>
    </w:p>
    <w:p>
      <w:pPr>
        <w:pStyle w:val="4"/>
        <w:keepNext w:val="0"/>
        <w:keepLines w:val="0"/>
        <w:pageBreakBefore w:val="0"/>
        <w:widowControl/>
        <w:numPr>
          <w:ilvl w:val="0"/>
          <w:numId w:val="3"/>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对师资培训（61万元），包括下企业实践，提出培训计划安排，分时分批次组织实施。经费从学院师资培训管理经费支。</w:t>
      </w:r>
    </w:p>
    <w:tbl>
      <w:tblPr>
        <w:tblStyle w:val="5"/>
        <w:tblW w:w="7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3"/>
        <w:gridCol w:w="170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企业调研</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24</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教师赴国家级示范院校培训、调研</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16</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w:t>
            </w:r>
            <w:r>
              <w:rPr>
                <w:rFonts w:hint="eastAsia" w:asciiTheme="minorEastAsia" w:hAnsiTheme="minorEastAsia" w:eastAsiaTheme="minorEastAsia" w:cstheme="minorEastAsia"/>
                <w:color w:val="auto"/>
                <w:sz w:val="21"/>
                <w:szCs w:val="21"/>
                <w:lang w:val="en-US" w:eastAsia="zh-CN"/>
              </w:rPr>
              <w:t>专业</w:t>
            </w:r>
            <w:r>
              <w:rPr>
                <w:rFonts w:hint="eastAsia" w:asciiTheme="minorEastAsia" w:hAnsiTheme="minorEastAsia" w:eastAsiaTheme="minorEastAsia" w:cstheme="minorEastAsia"/>
                <w:color w:val="auto"/>
                <w:sz w:val="21"/>
                <w:szCs w:val="21"/>
              </w:rPr>
              <w:t>研讨会</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29</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6"/>
                <w:sz w:val="21"/>
                <w:szCs w:val="21"/>
              </w:rPr>
              <w:t>校企合作现代学徒制人才培养模式改革</w:t>
            </w:r>
          </w:p>
        </w:tc>
        <w:tc>
          <w:tcPr>
            <w:tcW w:w="17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24</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课程</w:t>
            </w:r>
            <w:r>
              <w:rPr>
                <w:rFonts w:hint="eastAsia" w:asciiTheme="minorEastAsia" w:hAnsiTheme="minorEastAsia" w:eastAsiaTheme="minorEastAsia" w:cstheme="minorEastAsia"/>
                <w:color w:val="auto"/>
                <w:sz w:val="21"/>
                <w:szCs w:val="21"/>
                <w:lang w:val="en-US" w:eastAsia="zh-CN"/>
              </w:rPr>
              <w:t>改革</w:t>
            </w:r>
            <w:r>
              <w:rPr>
                <w:rFonts w:hint="eastAsia" w:asciiTheme="minorEastAsia" w:hAnsiTheme="minorEastAsia" w:eastAsiaTheme="minorEastAsia" w:cstheme="minorEastAsia"/>
                <w:color w:val="auto"/>
                <w:sz w:val="21"/>
                <w:szCs w:val="21"/>
              </w:rPr>
              <w:t>建设</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val="en-US" w:eastAsia="zh-CN"/>
              </w:rPr>
              <w:t>4</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教材建设</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教学资源库建设</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cstheme="minorEastAsia"/>
                <w:color w:val="auto"/>
                <w:sz w:val="21"/>
                <w:szCs w:val="21"/>
                <w:lang w:val="en-US" w:eastAsia="zh-CN"/>
              </w:rPr>
              <w:t>9</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科研</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61</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交通费</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55</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学生意外伤害保险</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企业师傅课时费</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117</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实训基地建设</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position w:val="6"/>
                <w:sz w:val="21"/>
                <w:szCs w:val="21"/>
              </w:rPr>
              <w:t>招生工作</w:t>
            </w:r>
            <w:r>
              <w:rPr>
                <w:rFonts w:hint="eastAsia" w:asciiTheme="minorEastAsia" w:hAnsiTheme="minorEastAsia" w:eastAsiaTheme="minorEastAsia" w:cstheme="minorEastAsia"/>
                <w:color w:val="auto"/>
                <w:position w:val="6"/>
                <w:sz w:val="21"/>
                <w:szCs w:val="21"/>
                <w:lang w:eastAsia="zh-CN"/>
              </w:rPr>
              <w:t>，</w:t>
            </w:r>
            <w:r>
              <w:rPr>
                <w:rFonts w:hint="eastAsia" w:asciiTheme="minorEastAsia" w:hAnsiTheme="minorEastAsia" w:eastAsiaTheme="minorEastAsia" w:cstheme="minorEastAsia"/>
                <w:color w:val="auto"/>
                <w:position w:val="6"/>
                <w:sz w:val="21"/>
                <w:szCs w:val="21"/>
              </w:rPr>
              <w:t>落实合作企业单位</w:t>
            </w:r>
          </w:p>
        </w:tc>
        <w:tc>
          <w:tcPr>
            <w:tcW w:w="17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13</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试点专业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right="0" w:rightChars="0" w:firstLine="0" w:firstLineChars="0"/>
              <w:jc w:val="center"/>
              <w:rPr>
                <w:rFonts w:hint="eastAsia" w:asciiTheme="minorEastAsia" w:hAnsiTheme="minorEastAsia" w:eastAsiaTheme="minorEastAsia" w:cstheme="minorEastAsia"/>
                <w:color w:val="auto"/>
                <w:position w:val="6"/>
                <w:sz w:val="21"/>
                <w:szCs w:val="21"/>
                <w:lang w:eastAsia="zh-CN"/>
              </w:rPr>
            </w:pPr>
            <w:r>
              <w:rPr>
                <w:rFonts w:hint="eastAsia" w:asciiTheme="minorEastAsia" w:hAnsiTheme="minorEastAsia" w:eastAsiaTheme="minorEastAsia" w:cstheme="minorEastAsia"/>
                <w:color w:val="auto"/>
                <w:position w:val="6"/>
                <w:sz w:val="21"/>
                <w:szCs w:val="21"/>
                <w:lang w:eastAsia="zh-CN"/>
              </w:rPr>
              <w:t>师资培训</w:t>
            </w:r>
          </w:p>
        </w:tc>
        <w:tc>
          <w:tcPr>
            <w:tcW w:w="17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w:t>
            </w:r>
          </w:p>
        </w:tc>
        <w:tc>
          <w:tcPr>
            <w:tcW w:w="19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试点专业</w:t>
            </w:r>
          </w:p>
        </w:tc>
      </w:tr>
    </w:tbl>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default" w:ascii="仿宋_GB2312" w:hAnsi="仿宋_GB2312" w:eastAsia="仿宋_GB2312" w:cs="仿宋_GB2312"/>
          <w:i w:val="0"/>
          <w:caps w:val="0"/>
          <w:color w:val="4B4B4B"/>
          <w:spacing w:val="0"/>
          <w:sz w:val="30"/>
          <w:szCs w:val="30"/>
          <w:u w:val="none"/>
          <w:lang w:val="en-US" w:eastAsia="zh-CN"/>
        </w:rPr>
      </w:pPr>
      <w:r>
        <w:rPr>
          <w:rStyle w:val="8"/>
          <w:rFonts w:hint="eastAsia" w:ascii="仿宋_GB2312" w:hAnsi="仿宋_GB2312" w:eastAsia="仿宋_GB2312" w:cs="仿宋_GB2312"/>
          <w:i w:val="0"/>
          <w:caps w:val="0"/>
          <w:color w:val="4B4B4B"/>
          <w:spacing w:val="0"/>
          <w:sz w:val="30"/>
          <w:szCs w:val="30"/>
          <w:u w:val="none"/>
          <w:lang w:val="en-US" w:eastAsia="zh-CN"/>
        </w:rPr>
        <w:t>二、安排教育部学徒制中期年检工作</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eastAsia" w:ascii="仿宋_GB2312" w:hAnsi="仿宋_GB2312" w:eastAsia="仿宋_GB2312" w:cs="仿宋_GB2312"/>
          <w:i w:val="0"/>
          <w:caps w:val="0"/>
          <w:color w:val="4B4B4B"/>
          <w:spacing w:val="0"/>
          <w:sz w:val="30"/>
          <w:szCs w:val="30"/>
          <w:u w:val="none"/>
          <w:lang w:val="en-US" w:eastAsia="zh-CN"/>
        </w:rPr>
      </w:pPr>
      <w:r>
        <w:rPr>
          <w:rFonts w:hint="eastAsia" w:ascii="仿宋_GB2312" w:hAnsi="仿宋_GB2312" w:eastAsia="仿宋_GB2312" w:cs="仿宋_GB2312"/>
          <w:b w:val="0"/>
          <w:bCs w:val="0"/>
          <w:i w:val="0"/>
          <w:caps w:val="0"/>
          <w:color w:val="4B4B4B"/>
          <w:spacing w:val="0"/>
          <w:sz w:val="30"/>
          <w:szCs w:val="30"/>
          <w:u w:val="none"/>
          <w:lang w:val="en-US" w:eastAsia="zh-CN"/>
        </w:rPr>
        <w:t>2018年的文件内容“</w:t>
      </w:r>
      <w:r>
        <w:rPr>
          <w:rFonts w:hint="eastAsia" w:ascii="仿宋_GB2312" w:hAnsi="仿宋_GB2312" w:eastAsia="仿宋_GB2312" w:cs="仿宋_GB2312"/>
          <w:b w:val="0"/>
          <w:bCs w:val="0"/>
          <w:i w:val="0"/>
          <w:caps w:val="0"/>
          <w:color w:val="4B4B4B"/>
          <w:spacing w:val="0"/>
          <w:sz w:val="30"/>
          <w:szCs w:val="30"/>
          <w:u w:val="none"/>
        </w:rPr>
        <w:t>第二批试点单位须对照备案的任务书，总结试点经验、</w:t>
      </w:r>
      <w:r>
        <w:rPr>
          <w:rFonts w:hint="eastAsia" w:ascii="仿宋_GB2312" w:hAnsi="仿宋_GB2312" w:eastAsia="仿宋_GB2312" w:cs="仿宋_GB2312"/>
          <w:b/>
          <w:bCs/>
          <w:i w:val="0"/>
          <w:caps w:val="0"/>
          <w:color w:val="4B4B4B"/>
          <w:spacing w:val="0"/>
          <w:sz w:val="30"/>
          <w:szCs w:val="30"/>
          <w:u w:val="none"/>
        </w:rPr>
        <w:t>撰写自检报告</w:t>
      </w:r>
      <w:r>
        <w:rPr>
          <w:rFonts w:hint="eastAsia" w:ascii="仿宋_GB2312" w:hAnsi="仿宋_GB2312" w:eastAsia="仿宋_GB2312" w:cs="仿宋_GB2312"/>
          <w:b w:val="0"/>
          <w:bCs w:val="0"/>
          <w:i w:val="0"/>
          <w:caps w:val="0"/>
          <w:color w:val="4B4B4B"/>
          <w:spacing w:val="0"/>
          <w:sz w:val="30"/>
          <w:szCs w:val="30"/>
          <w:u w:val="none"/>
        </w:rPr>
        <w:t>。自检报告应包括：试点任务完成情况、工作成效及创新点、资金到位和执行情况、存在问题及改进措施、下一阶段工作计划等。自检报告及</w:t>
      </w:r>
      <w:r>
        <w:rPr>
          <w:rFonts w:hint="eastAsia" w:ascii="仿宋_GB2312" w:hAnsi="仿宋_GB2312" w:eastAsia="仿宋_GB2312" w:cs="仿宋_GB2312"/>
          <w:b/>
          <w:bCs/>
          <w:i w:val="0"/>
          <w:caps w:val="0"/>
          <w:color w:val="4B4B4B"/>
          <w:spacing w:val="0"/>
          <w:sz w:val="30"/>
          <w:szCs w:val="30"/>
          <w:u w:val="none"/>
        </w:rPr>
        <w:t>相关佐证材料</w:t>
      </w:r>
      <w:r>
        <w:rPr>
          <w:rFonts w:hint="eastAsia" w:ascii="仿宋_GB2312" w:hAnsi="仿宋_GB2312" w:eastAsia="仿宋_GB2312" w:cs="仿宋_GB2312"/>
          <w:b w:val="0"/>
          <w:bCs w:val="0"/>
          <w:i w:val="0"/>
          <w:caps w:val="0"/>
          <w:color w:val="4B4B4B"/>
          <w:spacing w:val="0"/>
          <w:sz w:val="30"/>
          <w:szCs w:val="30"/>
          <w:u w:val="none"/>
        </w:rPr>
        <w:t>电子版须于2018年4月20日-28日登录管理平台提交。任务书内容如有变更，牵头单位须于2018年4月18日前报我部职成司备案。</w:t>
      </w:r>
      <w:r>
        <w:rPr>
          <w:rFonts w:hint="eastAsia" w:ascii="仿宋_GB2312" w:hAnsi="仿宋_GB2312" w:eastAsia="仿宋_GB2312" w:cs="仿宋_GB2312"/>
          <w:b w:val="0"/>
          <w:bCs w:val="0"/>
          <w:i w:val="0"/>
          <w:caps w:val="0"/>
          <w:color w:val="4B4B4B"/>
          <w:spacing w:val="0"/>
          <w:sz w:val="30"/>
          <w:szCs w:val="30"/>
          <w:u w:val="none"/>
          <w:lang w:eastAsia="zh-CN"/>
        </w:rPr>
        <w:t>”</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eastAsia" w:ascii="仿宋_GB2312" w:hAnsi="仿宋_GB2312" w:eastAsia="仿宋_GB2312" w:cs="仿宋_GB2312"/>
          <w:i w:val="0"/>
          <w:caps w:val="0"/>
          <w:color w:val="4B4B4B"/>
          <w:spacing w:val="0"/>
          <w:sz w:val="30"/>
          <w:szCs w:val="30"/>
          <w:u w:val="none"/>
          <w:lang w:val="en-US" w:eastAsia="zh-CN"/>
        </w:rPr>
      </w:pPr>
      <w:r>
        <w:rPr>
          <w:rStyle w:val="8"/>
          <w:rFonts w:hint="eastAsia" w:ascii="仿宋_GB2312" w:hAnsi="仿宋_GB2312" w:eastAsia="仿宋_GB2312" w:cs="仿宋_GB2312"/>
          <w:i w:val="0"/>
          <w:caps w:val="0"/>
          <w:color w:val="4B4B4B"/>
          <w:spacing w:val="0"/>
          <w:sz w:val="30"/>
          <w:szCs w:val="30"/>
          <w:u w:val="none"/>
          <w:lang w:val="en-US" w:eastAsia="zh-CN"/>
        </w:rPr>
        <w:t>要求与建议：</w:t>
      </w:r>
    </w:p>
    <w:p>
      <w:pPr>
        <w:pStyle w:val="4"/>
        <w:keepNext w:val="0"/>
        <w:keepLines w:val="0"/>
        <w:pageBreakBefore w:val="0"/>
        <w:widowControl/>
        <w:numPr>
          <w:ilvl w:val="0"/>
          <w:numId w:val="4"/>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在这次总结的基础上，撰写自检报告，</w:t>
      </w:r>
      <w:r>
        <w:rPr>
          <w:rFonts w:hint="eastAsia" w:ascii="仿宋_GB2312" w:hAnsi="仿宋_GB2312" w:eastAsia="仿宋_GB2312" w:cs="仿宋_GB2312"/>
          <w:b w:val="0"/>
          <w:bCs w:val="0"/>
          <w:i w:val="0"/>
          <w:caps w:val="0"/>
          <w:color w:val="4B4B4B"/>
          <w:spacing w:val="0"/>
          <w:sz w:val="30"/>
          <w:szCs w:val="30"/>
          <w:u w:val="none"/>
        </w:rPr>
        <w:t>自检报告包括</w:t>
      </w:r>
      <w:r>
        <w:rPr>
          <w:rFonts w:hint="eastAsia" w:ascii="仿宋_GB2312" w:hAnsi="仿宋_GB2312" w:eastAsia="仿宋_GB2312" w:cs="仿宋_GB2312"/>
          <w:b w:val="0"/>
          <w:bCs w:val="0"/>
          <w:i w:val="0"/>
          <w:caps w:val="0"/>
          <w:color w:val="4B4B4B"/>
          <w:spacing w:val="0"/>
          <w:sz w:val="30"/>
          <w:szCs w:val="30"/>
          <w:u w:val="none"/>
          <w:lang w:val="en-US" w:eastAsia="zh-CN"/>
        </w:rPr>
        <w:t>五部分</w:t>
      </w:r>
      <w:r>
        <w:rPr>
          <w:rFonts w:hint="eastAsia" w:ascii="仿宋_GB2312" w:hAnsi="仿宋_GB2312" w:eastAsia="仿宋_GB2312" w:cs="仿宋_GB2312"/>
          <w:b w:val="0"/>
          <w:bCs w:val="0"/>
          <w:i w:val="0"/>
          <w:caps w:val="0"/>
          <w:color w:val="4B4B4B"/>
          <w:spacing w:val="0"/>
          <w:sz w:val="30"/>
          <w:szCs w:val="30"/>
          <w:u w:val="none"/>
        </w:rPr>
        <w:t>：试点任务完成情况、工作成效及创新点、资金到位和执行情况、存在问题及改进措施、下一阶段工作计划等。</w:t>
      </w:r>
      <w:r>
        <w:rPr>
          <w:rFonts w:hint="eastAsia" w:ascii="仿宋_GB2312" w:hAnsi="仿宋_GB2312" w:eastAsia="仿宋_GB2312" w:cs="仿宋_GB2312"/>
          <w:b w:val="0"/>
          <w:bCs w:val="0"/>
          <w:i w:val="0"/>
          <w:caps w:val="0"/>
          <w:color w:val="4B4B4B"/>
          <w:spacing w:val="0"/>
          <w:sz w:val="30"/>
          <w:szCs w:val="30"/>
          <w:u w:val="none"/>
          <w:lang w:val="en-US" w:eastAsia="zh-CN"/>
        </w:rPr>
        <w:t>5月30日前完成报于海波。</w:t>
      </w:r>
    </w:p>
    <w:p>
      <w:pPr>
        <w:pStyle w:val="4"/>
        <w:keepNext w:val="0"/>
        <w:keepLines w:val="0"/>
        <w:pageBreakBefore w:val="0"/>
        <w:widowControl/>
        <w:numPr>
          <w:ilvl w:val="0"/>
          <w:numId w:val="4"/>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按任务书2019年验收要点整理材料，所有材料</w:t>
      </w:r>
      <w:r>
        <w:rPr>
          <w:rStyle w:val="8"/>
          <w:rFonts w:hint="eastAsia" w:ascii="仿宋_GB2312" w:hAnsi="仿宋_GB2312" w:eastAsia="仿宋_GB2312" w:cs="仿宋_GB2312"/>
          <w:b/>
          <w:bCs w:val="0"/>
          <w:i w:val="0"/>
          <w:caps w:val="0"/>
          <w:color w:val="4B4B4B"/>
          <w:spacing w:val="0"/>
          <w:sz w:val="30"/>
          <w:szCs w:val="30"/>
          <w:u w:val="none"/>
          <w:lang w:val="en-US" w:eastAsia="zh-CN"/>
        </w:rPr>
        <w:t>以电子版留存</w:t>
      </w:r>
      <w:r>
        <w:rPr>
          <w:rStyle w:val="8"/>
          <w:rFonts w:hint="eastAsia" w:ascii="仿宋_GB2312" w:hAnsi="仿宋_GB2312" w:eastAsia="仿宋_GB2312" w:cs="仿宋_GB2312"/>
          <w:b w:val="0"/>
          <w:bCs/>
          <w:i w:val="0"/>
          <w:caps w:val="0"/>
          <w:color w:val="4B4B4B"/>
          <w:spacing w:val="0"/>
          <w:sz w:val="30"/>
          <w:szCs w:val="30"/>
          <w:u w:val="none"/>
          <w:lang w:val="en-US" w:eastAsia="zh-CN"/>
        </w:rPr>
        <w:t>，对于纸质材料扫描成电子版，所有建设项目材料打包成压缩文件保存，5月30日前传给刘明武，由刘明武负责上传至学徒制专题网站。</w:t>
      </w:r>
    </w:p>
    <w:p>
      <w:pPr>
        <w:pStyle w:val="4"/>
        <w:keepNext w:val="0"/>
        <w:keepLines w:val="0"/>
        <w:pageBreakBefore w:val="0"/>
        <w:widowControl/>
        <w:numPr>
          <w:ilvl w:val="0"/>
          <w:numId w:val="4"/>
        </w:numPr>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leftChars="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学徒制办公室于海波负责撰写学院自检报告及学院层面支撑材料的整理，刘明武负责支撑材料整理上传至教育部学徒制管理平台。</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2" w:firstLineChars="200"/>
        <w:jc w:val="left"/>
        <w:textAlignment w:val="auto"/>
        <w:rPr>
          <w:rStyle w:val="8"/>
          <w:rFonts w:hint="eastAsia" w:ascii="仿宋_GB2312" w:hAnsi="仿宋_GB2312" w:eastAsia="仿宋_GB2312" w:cs="仿宋_GB2312"/>
          <w:i w:val="0"/>
          <w:caps w:val="0"/>
          <w:color w:val="4B4B4B"/>
          <w:spacing w:val="0"/>
          <w:sz w:val="30"/>
          <w:szCs w:val="30"/>
          <w:u w:val="none"/>
          <w:lang w:val="en-US" w:eastAsia="zh-CN"/>
        </w:rPr>
      </w:pPr>
      <w:r>
        <w:rPr>
          <w:rStyle w:val="8"/>
          <w:rFonts w:hint="eastAsia" w:ascii="仿宋_GB2312" w:hAnsi="仿宋_GB2312" w:eastAsia="仿宋_GB2312" w:cs="仿宋_GB2312"/>
          <w:i w:val="0"/>
          <w:caps w:val="0"/>
          <w:color w:val="4B4B4B"/>
          <w:spacing w:val="0"/>
          <w:sz w:val="30"/>
          <w:szCs w:val="30"/>
          <w:u w:val="none"/>
          <w:lang w:val="en-US" w:eastAsia="zh-CN"/>
        </w:rPr>
        <w:t>三、安排学院学徒制试点工作研讨会筹备工作</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总体安排：总结2015年学院确定为自治区试点院校和2018年确定为教育部试点院校以来试点工作开展情况，总结试点经验、工作成效及创新点，提炼典型案例，梳理存在问题，提出下一阶段改进措施和工作安排。工作研讨会计划六月底召开，具体任务如下：</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1. 学徒制办公室负责撰写学院总结材料</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2. 专业负责人负责撰写试点专业总结材料</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eastAsia"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3. 遴选企业代表发言</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4. 邀请国内知名专家讲座</w:t>
      </w:r>
    </w:p>
    <w:p>
      <w:pPr>
        <w:pStyle w:val="4"/>
        <w:keepNext w:val="0"/>
        <w:keepLines w:val="0"/>
        <w:pageBreakBefore w:val="0"/>
        <w:widowControl/>
        <w:suppressLineNumbers w:val="0"/>
        <w:pBdr>
          <w:top w:val="none" w:color="4B4B4B" w:sz="0" w:space="0"/>
          <w:left w:val="none" w:color="4B4B4B" w:sz="0" w:space="0"/>
          <w:bottom w:val="none" w:color="4B4B4B" w:sz="0" w:space="0"/>
          <w:right w:val="none" w:color="4B4B4B"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jc w:val="left"/>
        <w:textAlignment w:val="auto"/>
        <w:rPr>
          <w:rStyle w:val="8"/>
          <w:rFonts w:hint="default" w:ascii="仿宋_GB2312" w:hAnsi="仿宋_GB2312" w:eastAsia="仿宋_GB2312" w:cs="仿宋_GB2312"/>
          <w:b w:val="0"/>
          <w:bCs/>
          <w:i w:val="0"/>
          <w:caps w:val="0"/>
          <w:color w:val="4B4B4B"/>
          <w:spacing w:val="0"/>
          <w:sz w:val="30"/>
          <w:szCs w:val="30"/>
          <w:u w:val="none"/>
          <w:lang w:val="en-US" w:eastAsia="zh-CN"/>
        </w:rPr>
      </w:pPr>
      <w:r>
        <w:rPr>
          <w:rStyle w:val="8"/>
          <w:rFonts w:hint="eastAsia" w:ascii="仿宋_GB2312" w:hAnsi="仿宋_GB2312" w:eastAsia="仿宋_GB2312" w:cs="仿宋_GB2312"/>
          <w:b w:val="0"/>
          <w:bCs/>
          <w:i w:val="0"/>
          <w:caps w:val="0"/>
          <w:color w:val="4B4B4B"/>
          <w:spacing w:val="0"/>
          <w:sz w:val="30"/>
          <w:szCs w:val="30"/>
          <w:u w:val="none"/>
          <w:lang w:val="en-US" w:eastAsia="zh-CN"/>
        </w:rPr>
        <w:t>5. 凝炼试点专业建设成果和典型案例，每个试点专业制作2块展板</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0F457"/>
    <w:multiLevelType w:val="singleLevel"/>
    <w:tmpl w:val="9990F457"/>
    <w:lvl w:ilvl="0" w:tentative="0">
      <w:start w:val="1"/>
      <w:numFmt w:val="decimal"/>
      <w:suff w:val="space"/>
      <w:lvlText w:val="%1."/>
      <w:lvlJc w:val="left"/>
    </w:lvl>
  </w:abstractNum>
  <w:abstractNum w:abstractNumId="1">
    <w:nsid w:val="DCBFBC01"/>
    <w:multiLevelType w:val="singleLevel"/>
    <w:tmpl w:val="DCBFBC01"/>
    <w:lvl w:ilvl="0" w:tentative="0">
      <w:start w:val="1"/>
      <w:numFmt w:val="decimal"/>
      <w:suff w:val="space"/>
      <w:lvlText w:val="%1."/>
      <w:lvlJc w:val="left"/>
    </w:lvl>
  </w:abstractNum>
  <w:abstractNum w:abstractNumId="2">
    <w:nsid w:val="02E56887"/>
    <w:multiLevelType w:val="singleLevel"/>
    <w:tmpl w:val="02E56887"/>
    <w:lvl w:ilvl="0" w:tentative="0">
      <w:start w:val="1"/>
      <w:numFmt w:val="decimal"/>
      <w:suff w:val="space"/>
      <w:lvlText w:val="%1."/>
      <w:lvlJc w:val="left"/>
    </w:lvl>
  </w:abstractNum>
  <w:abstractNum w:abstractNumId="3">
    <w:nsid w:val="56DE3D5E"/>
    <w:multiLevelType w:val="singleLevel"/>
    <w:tmpl w:val="56DE3D5E"/>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7447F"/>
    <w:rsid w:val="00B04898"/>
    <w:rsid w:val="01F12C23"/>
    <w:rsid w:val="036F584F"/>
    <w:rsid w:val="04C87419"/>
    <w:rsid w:val="06B85BB9"/>
    <w:rsid w:val="0A467220"/>
    <w:rsid w:val="0BE124AF"/>
    <w:rsid w:val="0FB75F42"/>
    <w:rsid w:val="120D4B50"/>
    <w:rsid w:val="121D711C"/>
    <w:rsid w:val="16EF112B"/>
    <w:rsid w:val="1821358C"/>
    <w:rsid w:val="19D03591"/>
    <w:rsid w:val="1C39380C"/>
    <w:rsid w:val="1D363841"/>
    <w:rsid w:val="25DC188E"/>
    <w:rsid w:val="295C699C"/>
    <w:rsid w:val="2BF660D2"/>
    <w:rsid w:val="2C354C30"/>
    <w:rsid w:val="2F077C58"/>
    <w:rsid w:val="30455900"/>
    <w:rsid w:val="31AE5430"/>
    <w:rsid w:val="35F22E30"/>
    <w:rsid w:val="3AC90539"/>
    <w:rsid w:val="3C3A74CD"/>
    <w:rsid w:val="3D0568C0"/>
    <w:rsid w:val="3D2F0FC6"/>
    <w:rsid w:val="40FE1140"/>
    <w:rsid w:val="460A3BEE"/>
    <w:rsid w:val="49375F7C"/>
    <w:rsid w:val="4A3A1D3B"/>
    <w:rsid w:val="4A5E4905"/>
    <w:rsid w:val="4ADB212D"/>
    <w:rsid w:val="4F1F17A6"/>
    <w:rsid w:val="53F469A7"/>
    <w:rsid w:val="545D2460"/>
    <w:rsid w:val="56C7718E"/>
    <w:rsid w:val="5A5464CC"/>
    <w:rsid w:val="5D4D5735"/>
    <w:rsid w:val="5DA756A9"/>
    <w:rsid w:val="5F8129ED"/>
    <w:rsid w:val="617114A0"/>
    <w:rsid w:val="63651730"/>
    <w:rsid w:val="64A16CB5"/>
    <w:rsid w:val="673D2D68"/>
    <w:rsid w:val="6A244054"/>
    <w:rsid w:val="6A721C54"/>
    <w:rsid w:val="6B680B54"/>
    <w:rsid w:val="705F631D"/>
    <w:rsid w:val="74D16BD3"/>
    <w:rsid w:val="74D24237"/>
    <w:rsid w:val="762173AF"/>
    <w:rsid w:val="76C52630"/>
    <w:rsid w:val="76E709C9"/>
    <w:rsid w:val="7747447F"/>
    <w:rsid w:val="775F69C7"/>
    <w:rsid w:val="78505A7A"/>
    <w:rsid w:val="793F3DA2"/>
    <w:rsid w:val="79A15CBE"/>
    <w:rsid w:val="7A2C3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2019-05-05T23:07:00Z</dcterms:created>
  <dc:creator>liyongjie</dc:creator>
  <cp:lastModifiedBy>liyongjie</cp:lastModifiedBy>
  <cp:lastPrinted>2019-05-09T07:09:00Z</cp:lastPrinted>
  <dcterms:modified xsi:type="dcterms:W3CDTF">2019-05-11T06:43:04Z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